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8C0" w:rsidRDefault="003178C0" w:rsidP="00711FAF">
      <w:pPr>
        <w:pStyle w:val="Textoindependiente"/>
        <w:spacing w:line="240" w:lineRule="auto"/>
        <w:rPr>
          <w:rFonts w:ascii="Cambria" w:hAnsi="Cambria"/>
          <w:bCs/>
        </w:rPr>
      </w:pPr>
    </w:p>
    <w:p w:rsidR="00EB3AB0" w:rsidRPr="00E03237" w:rsidRDefault="003178C0" w:rsidP="003178C0">
      <w:pPr>
        <w:pStyle w:val="Textoindependiente"/>
        <w:spacing w:line="240" w:lineRule="auto"/>
        <w:rPr>
          <w:rFonts w:ascii="Cambria" w:hAnsi="Cambria"/>
          <w:b/>
          <w:bCs/>
          <w:sz w:val="32"/>
          <w:szCs w:val="32"/>
        </w:rPr>
      </w:pPr>
      <w:r w:rsidRPr="00E03237">
        <w:rPr>
          <w:rFonts w:ascii="Cambria" w:hAnsi="Cambria"/>
          <w:b/>
          <w:bCs/>
          <w:sz w:val="32"/>
          <w:szCs w:val="32"/>
        </w:rPr>
        <w:t xml:space="preserve">Marcano </w:t>
      </w:r>
      <w:r w:rsidR="00E03237">
        <w:rPr>
          <w:rFonts w:ascii="Cambria" w:hAnsi="Cambria"/>
          <w:b/>
          <w:bCs/>
          <w:sz w:val="32"/>
          <w:szCs w:val="32"/>
        </w:rPr>
        <w:t xml:space="preserve">acoge con “muchísima alegría” </w:t>
      </w:r>
      <w:r w:rsidRPr="00E03237">
        <w:rPr>
          <w:rFonts w:ascii="Cambria" w:hAnsi="Cambria"/>
          <w:b/>
          <w:bCs/>
          <w:sz w:val="32"/>
          <w:szCs w:val="32"/>
        </w:rPr>
        <w:t xml:space="preserve">el </w:t>
      </w:r>
      <w:r w:rsidR="00E03237">
        <w:rPr>
          <w:rFonts w:ascii="Cambria" w:hAnsi="Cambria"/>
          <w:b/>
          <w:bCs/>
          <w:sz w:val="32"/>
          <w:szCs w:val="32"/>
        </w:rPr>
        <w:t xml:space="preserve">auto del </w:t>
      </w:r>
      <w:r w:rsidRPr="00E03237">
        <w:rPr>
          <w:rFonts w:ascii="Cambria" w:hAnsi="Cambria"/>
          <w:b/>
          <w:bCs/>
          <w:sz w:val="32"/>
          <w:szCs w:val="32"/>
        </w:rPr>
        <w:t xml:space="preserve">TSJC que no aprecia indicios de delito en su actuación en el </w:t>
      </w:r>
      <w:r w:rsidR="00E03237">
        <w:rPr>
          <w:rFonts w:ascii="Cambria" w:hAnsi="Cambria"/>
          <w:b/>
          <w:bCs/>
          <w:sz w:val="32"/>
          <w:szCs w:val="32"/>
        </w:rPr>
        <w:t>‘</w:t>
      </w:r>
      <w:r w:rsidRPr="00E03237">
        <w:rPr>
          <w:rFonts w:ascii="Cambria" w:hAnsi="Cambria"/>
          <w:b/>
          <w:bCs/>
          <w:sz w:val="32"/>
          <w:szCs w:val="32"/>
        </w:rPr>
        <w:t xml:space="preserve">caso </w:t>
      </w:r>
      <w:proofErr w:type="spellStart"/>
      <w:r w:rsidRPr="00E03237">
        <w:rPr>
          <w:rFonts w:ascii="Cambria" w:hAnsi="Cambria"/>
          <w:b/>
          <w:bCs/>
          <w:sz w:val="32"/>
          <w:szCs w:val="32"/>
        </w:rPr>
        <w:t>Vestas</w:t>
      </w:r>
      <w:proofErr w:type="spellEnd"/>
      <w:r w:rsidR="00E03237">
        <w:rPr>
          <w:rFonts w:ascii="Cambria" w:hAnsi="Cambria"/>
          <w:b/>
          <w:bCs/>
          <w:sz w:val="32"/>
          <w:szCs w:val="32"/>
        </w:rPr>
        <w:t>’ y reafirma su confianza en la justicia</w:t>
      </w:r>
    </w:p>
    <w:p w:rsidR="003178C0" w:rsidRDefault="003178C0" w:rsidP="003178C0">
      <w:pPr>
        <w:pStyle w:val="Textoindependiente"/>
        <w:spacing w:line="240" w:lineRule="auto"/>
        <w:rPr>
          <w:rFonts w:ascii="Cambria" w:hAnsi="Cambria"/>
          <w:bCs/>
        </w:rPr>
      </w:pPr>
    </w:p>
    <w:p w:rsidR="003178C0" w:rsidRPr="00E03237" w:rsidRDefault="003178C0" w:rsidP="003178C0">
      <w:pPr>
        <w:pStyle w:val="Textoindependiente"/>
        <w:spacing w:line="240" w:lineRule="auto"/>
        <w:rPr>
          <w:rFonts w:ascii="Cambria" w:hAnsi="Cambria"/>
          <w:b/>
          <w:bCs/>
          <w:i/>
        </w:rPr>
      </w:pPr>
      <w:r w:rsidRPr="00E03237">
        <w:rPr>
          <w:rFonts w:ascii="Cambria" w:hAnsi="Cambria"/>
          <w:b/>
          <w:bCs/>
          <w:i/>
        </w:rPr>
        <w:t xml:space="preserve">El ex consejero </w:t>
      </w:r>
      <w:r w:rsidR="00847389">
        <w:rPr>
          <w:rFonts w:ascii="Cambria" w:hAnsi="Cambria"/>
          <w:b/>
          <w:bCs/>
          <w:i/>
        </w:rPr>
        <w:t xml:space="preserve">destaca </w:t>
      </w:r>
      <w:r w:rsidRPr="00E03237">
        <w:rPr>
          <w:rFonts w:ascii="Cambria" w:hAnsi="Cambria"/>
          <w:b/>
          <w:bCs/>
          <w:i/>
        </w:rPr>
        <w:t xml:space="preserve">que </w:t>
      </w:r>
      <w:r w:rsidR="00E03237">
        <w:rPr>
          <w:rFonts w:ascii="Cambria" w:hAnsi="Cambria"/>
          <w:b/>
          <w:bCs/>
          <w:i/>
        </w:rPr>
        <w:t xml:space="preserve">la resolución </w:t>
      </w:r>
      <w:r w:rsidRPr="00E03237">
        <w:rPr>
          <w:rFonts w:ascii="Cambria" w:hAnsi="Cambria"/>
          <w:b/>
          <w:bCs/>
          <w:i/>
        </w:rPr>
        <w:t xml:space="preserve">le permite recuperar su prestigio tras años defendiéndose de “muchísimas acusaciones infundadas” </w:t>
      </w:r>
    </w:p>
    <w:p w:rsidR="003178C0" w:rsidRDefault="003178C0" w:rsidP="003178C0">
      <w:pPr>
        <w:pStyle w:val="Textoindependiente"/>
        <w:spacing w:line="240" w:lineRule="auto"/>
        <w:rPr>
          <w:rFonts w:ascii="Cambria" w:hAnsi="Cambria"/>
          <w:bCs/>
        </w:rPr>
      </w:pPr>
    </w:p>
    <w:p w:rsidR="003178C0" w:rsidRPr="00E03237" w:rsidRDefault="003178C0" w:rsidP="00E03237">
      <w:pPr>
        <w:pStyle w:val="Textoindependiente"/>
        <w:spacing w:line="240" w:lineRule="auto"/>
        <w:jc w:val="right"/>
        <w:rPr>
          <w:rFonts w:ascii="Cambria" w:hAnsi="Cambria"/>
          <w:bCs/>
          <w:i/>
          <w:sz w:val="18"/>
          <w:szCs w:val="18"/>
        </w:rPr>
      </w:pPr>
      <w:r w:rsidRPr="00E03237">
        <w:rPr>
          <w:rFonts w:ascii="Cambria" w:hAnsi="Cambria"/>
          <w:bCs/>
          <w:i/>
          <w:sz w:val="18"/>
          <w:szCs w:val="18"/>
        </w:rPr>
        <w:t>Santander, 6 de febrero de 2012</w:t>
      </w:r>
    </w:p>
    <w:p w:rsidR="003178C0" w:rsidRDefault="00E03237" w:rsidP="003178C0">
      <w:pPr>
        <w:pStyle w:val="Textoindependiente"/>
        <w:spacing w:line="240" w:lineRule="auto"/>
        <w:rPr>
          <w:rFonts w:ascii="Cambria" w:hAnsi="Cambria"/>
          <w:bCs/>
        </w:rPr>
      </w:pPr>
      <w:r>
        <w:rPr>
          <w:rFonts w:ascii="Cambria" w:hAnsi="Cambria"/>
          <w:bCs/>
        </w:rPr>
        <w:t xml:space="preserve">El diputado del PRC y ex consejero de Cultura, Turismo y Deporte, Javier López Marcano, ha acogido hoy con “muchísima alegría” el auto hecho público por el Tribunal Superior de Justicia de Cantabria (TSJC), en el que no aprecia indicios de precarización en su intervención en el proceso por el que se autorizó a la empresa </w:t>
      </w:r>
      <w:proofErr w:type="spellStart"/>
      <w:r>
        <w:rPr>
          <w:rFonts w:ascii="Cambria" w:hAnsi="Cambria"/>
          <w:bCs/>
        </w:rPr>
        <w:t>Vestas</w:t>
      </w:r>
      <w:proofErr w:type="spellEnd"/>
      <w:r>
        <w:rPr>
          <w:rFonts w:ascii="Cambria" w:hAnsi="Cambria"/>
          <w:bCs/>
        </w:rPr>
        <w:t xml:space="preserve"> a instalar un </w:t>
      </w:r>
      <w:proofErr w:type="spellStart"/>
      <w:r>
        <w:rPr>
          <w:rFonts w:ascii="Cambria" w:hAnsi="Cambria"/>
          <w:bCs/>
        </w:rPr>
        <w:t>autogenerador</w:t>
      </w:r>
      <w:proofErr w:type="spellEnd"/>
      <w:r>
        <w:rPr>
          <w:rFonts w:ascii="Cambria" w:hAnsi="Cambria"/>
          <w:bCs/>
        </w:rPr>
        <w:t xml:space="preserve"> eólico experimental en el Monte </w:t>
      </w:r>
      <w:proofErr w:type="spellStart"/>
      <w:r>
        <w:rPr>
          <w:rFonts w:ascii="Cambria" w:hAnsi="Cambria"/>
          <w:bCs/>
        </w:rPr>
        <w:t>Cotío</w:t>
      </w:r>
      <w:proofErr w:type="spellEnd"/>
      <w:r>
        <w:rPr>
          <w:rFonts w:ascii="Cambria" w:hAnsi="Cambria"/>
          <w:bCs/>
        </w:rPr>
        <w:t>.</w:t>
      </w:r>
    </w:p>
    <w:p w:rsidR="00E03237" w:rsidRDefault="00E03237" w:rsidP="003178C0">
      <w:pPr>
        <w:pStyle w:val="Textoindependiente"/>
        <w:spacing w:line="240" w:lineRule="auto"/>
        <w:rPr>
          <w:rFonts w:ascii="Cambria" w:hAnsi="Cambria"/>
          <w:bCs/>
        </w:rPr>
      </w:pPr>
    </w:p>
    <w:p w:rsidR="00E03237" w:rsidRDefault="00E03237" w:rsidP="003178C0">
      <w:pPr>
        <w:pStyle w:val="Textoindependiente"/>
        <w:spacing w:line="240" w:lineRule="auto"/>
        <w:rPr>
          <w:rFonts w:ascii="Cambria" w:hAnsi="Cambria"/>
          <w:bCs/>
        </w:rPr>
      </w:pPr>
      <w:r>
        <w:rPr>
          <w:rFonts w:ascii="Cambria" w:hAnsi="Cambria"/>
          <w:bCs/>
        </w:rPr>
        <w:t xml:space="preserve">Aunque ha reconocido que esperaba una resolución favorable, López Marcano </w:t>
      </w:r>
      <w:r w:rsidR="001E7174">
        <w:rPr>
          <w:rFonts w:ascii="Cambria" w:hAnsi="Cambria"/>
          <w:bCs/>
        </w:rPr>
        <w:t xml:space="preserve">ha destacado </w:t>
      </w:r>
      <w:r>
        <w:rPr>
          <w:rFonts w:ascii="Cambria" w:hAnsi="Cambria"/>
          <w:bCs/>
        </w:rPr>
        <w:t xml:space="preserve">que le ha hecho “mucho bien” recibir el auto </w:t>
      </w:r>
      <w:r w:rsidR="00847389">
        <w:rPr>
          <w:rFonts w:ascii="Cambria" w:hAnsi="Cambria"/>
          <w:bCs/>
        </w:rPr>
        <w:t xml:space="preserve">“excepcional” </w:t>
      </w:r>
      <w:r>
        <w:rPr>
          <w:rFonts w:ascii="Cambria" w:hAnsi="Cambria"/>
          <w:bCs/>
        </w:rPr>
        <w:t>del TSJC</w:t>
      </w:r>
      <w:r w:rsidR="001E7174">
        <w:rPr>
          <w:rFonts w:ascii="Cambria" w:hAnsi="Cambria"/>
          <w:bCs/>
        </w:rPr>
        <w:t>, porque le permite reiterar su confianza en la justicia y recuperar parte de su prestigio. “Parece que en los últimos años mi sino es defenderme de muchísimas acusaciones infundadas y paulatinamente se me va dando la razón”, ha declarado.</w:t>
      </w:r>
    </w:p>
    <w:p w:rsidR="001E7174" w:rsidRDefault="001E7174" w:rsidP="003178C0">
      <w:pPr>
        <w:pStyle w:val="Textoindependiente"/>
        <w:spacing w:line="240" w:lineRule="auto"/>
        <w:rPr>
          <w:rFonts w:ascii="Cambria" w:hAnsi="Cambria"/>
          <w:bCs/>
        </w:rPr>
      </w:pPr>
    </w:p>
    <w:p w:rsidR="00EB3AB0" w:rsidRDefault="001E7174" w:rsidP="001E7174">
      <w:pPr>
        <w:pStyle w:val="Textoindependiente"/>
        <w:spacing w:line="240" w:lineRule="auto"/>
        <w:rPr>
          <w:rFonts w:ascii="Cambria" w:hAnsi="Cambria"/>
          <w:bCs/>
        </w:rPr>
      </w:pPr>
      <w:r>
        <w:rPr>
          <w:rFonts w:ascii="Cambria" w:hAnsi="Cambria"/>
          <w:bCs/>
        </w:rPr>
        <w:t xml:space="preserve">El ex consejero ha instado además a reflexionar sobre las consecuencias que este tipo de querellas tienen en el ámbito personal, político y social de los afectados y sobre la “situación de impunidad” en la que permanecen los querellantes aun cuando sus denuncias quedan “en agua de borrajas”. En este sentido, ha dado a conocer que cuando el juzgado de Reinosa remitió este caso al TSJC al apreciar indicios de delito en su actuación su hija embarazada de 7 meses tuvo que ser hospitalizada, como consecuencia del “terrible disgusto”. </w:t>
      </w:r>
    </w:p>
    <w:p w:rsidR="001E7174" w:rsidRDefault="001E7174" w:rsidP="001E7174">
      <w:pPr>
        <w:pStyle w:val="Textoindependiente"/>
        <w:spacing w:line="240" w:lineRule="auto"/>
        <w:rPr>
          <w:rFonts w:ascii="Cambria" w:hAnsi="Cambria"/>
          <w:bCs/>
        </w:rPr>
      </w:pPr>
    </w:p>
    <w:p w:rsidR="001E7174" w:rsidRDefault="001E7174" w:rsidP="001E7174">
      <w:pPr>
        <w:pStyle w:val="Textoindependiente"/>
        <w:spacing w:line="240" w:lineRule="auto"/>
        <w:rPr>
          <w:rFonts w:ascii="Cambria" w:hAnsi="Cambria"/>
          <w:bCs/>
        </w:rPr>
      </w:pPr>
      <w:r>
        <w:rPr>
          <w:rFonts w:ascii="Cambria" w:hAnsi="Cambria"/>
          <w:bCs/>
        </w:rPr>
        <w:t>“Me gustaría que las personas que presentan una querella reflexionaran sobre las consecuencias de ese hecho”, ha agregado.</w:t>
      </w:r>
    </w:p>
    <w:p w:rsidR="001E7174" w:rsidRDefault="001E7174" w:rsidP="001E7174">
      <w:pPr>
        <w:pStyle w:val="Textoindependiente"/>
        <w:spacing w:line="240" w:lineRule="auto"/>
        <w:rPr>
          <w:rFonts w:ascii="Cambria" w:hAnsi="Cambria"/>
          <w:bCs/>
        </w:rPr>
      </w:pPr>
    </w:p>
    <w:p w:rsidR="00847389" w:rsidRDefault="001E7174" w:rsidP="001E7174">
      <w:pPr>
        <w:pStyle w:val="Textoindependiente"/>
        <w:spacing w:line="240" w:lineRule="auto"/>
        <w:rPr>
          <w:rFonts w:ascii="Cambria" w:hAnsi="Cambria"/>
          <w:bCs/>
        </w:rPr>
      </w:pPr>
      <w:r>
        <w:rPr>
          <w:rFonts w:ascii="Cambria" w:hAnsi="Cambria"/>
          <w:bCs/>
        </w:rPr>
        <w:t>Asimismo, ha hecho hincapié en las consecuencias</w:t>
      </w:r>
      <w:r w:rsidR="00847389">
        <w:rPr>
          <w:rFonts w:ascii="Cambria" w:hAnsi="Cambria"/>
          <w:bCs/>
        </w:rPr>
        <w:t xml:space="preserve"> “en el ámbito industrial” y en el “daño” que este tipo de querellas hacen a emprendedores que han elegido la Comunidad Autónoma para “innovar, desarrollar, investigar e implantar sus industrias y proyectos de innovación”, con un claro “efecto negativo” y “una pérdida de confianza enorme” para la imagen de Cantabria.</w:t>
      </w:r>
    </w:p>
    <w:p w:rsidR="00847389" w:rsidRDefault="00847389" w:rsidP="001E7174">
      <w:pPr>
        <w:pStyle w:val="Textoindependiente"/>
        <w:spacing w:line="240" w:lineRule="auto"/>
        <w:rPr>
          <w:rFonts w:ascii="Cambria" w:hAnsi="Cambria"/>
          <w:bCs/>
        </w:rPr>
      </w:pPr>
    </w:p>
    <w:sectPr w:rsidR="00847389" w:rsidSect="00EB3AB0">
      <w:headerReference w:type="default" r:id="rId8"/>
      <w:footerReference w:type="default" r:id="rId9"/>
      <w:pgSz w:w="11900" w:h="16840"/>
      <w:pgMar w:top="1417" w:right="1701" w:bottom="1417"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389" w:rsidRDefault="00847389">
      <w:pPr>
        <w:rPr>
          <w:rFonts w:ascii="Times New Roman" w:hAnsi="Times New Roman"/>
        </w:rPr>
      </w:pPr>
      <w:r>
        <w:rPr>
          <w:rFonts w:ascii="Times New Roman" w:hAnsi="Times New Roman"/>
        </w:rPr>
        <w:separator/>
      </w:r>
    </w:p>
  </w:endnote>
  <w:endnote w:type="continuationSeparator" w:id="1">
    <w:p w:rsidR="00847389" w:rsidRDefault="00847389">
      <w:pPr>
        <w:rPr>
          <w:rFonts w:ascii="Times New Roman" w:hAnsi="Times New Roman"/>
        </w:rPr>
      </w:pPr>
      <w:r>
        <w:rPr>
          <w:rFonts w:ascii="Times New Roman" w:hAnsi="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389" w:rsidRDefault="00847389">
    <w:pPr>
      <w:pStyle w:val="Piedepgina"/>
      <w:tabs>
        <w:tab w:val="clear" w:pos="8504"/>
        <w:tab w:val="right" w:pos="8505"/>
      </w:tabs>
      <w:ind w:left="-1701" w:right="-1701"/>
      <w:rPr>
        <w:rFonts w:ascii="Times New Roman" w:hAnsi="Times New Roman"/>
      </w:rPr>
    </w:pPr>
    <w:r>
      <w:rPr>
        <w:rFonts w:ascii="Times New Roman" w:hAnsi="Times New Roman"/>
        <w:noProof/>
        <w:lang w:val="es-ES"/>
      </w:rPr>
      <w:drawing>
        <wp:inline distT="0" distB="0" distL="0" distR="0">
          <wp:extent cx="7556500" cy="1168400"/>
          <wp:effectExtent l="19050" t="0" r="6350" b="0"/>
          <wp:docPr id="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srcRect/>
                  <a:stretch>
                    <a:fillRect/>
                  </a:stretch>
                </pic:blipFill>
                <pic:spPr bwMode="auto">
                  <a:xfrm>
                    <a:off x="0" y="0"/>
                    <a:ext cx="7556500" cy="11684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389" w:rsidRDefault="00847389">
      <w:pPr>
        <w:rPr>
          <w:rFonts w:ascii="Times New Roman" w:hAnsi="Times New Roman"/>
        </w:rPr>
      </w:pPr>
      <w:r>
        <w:rPr>
          <w:rFonts w:ascii="Times New Roman" w:hAnsi="Times New Roman"/>
        </w:rPr>
        <w:separator/>
      </w:r>
    </w:p>
  </w:footnote>
  <w:footnote w:type="continuationSeparator" w:id="1">
    <w:p w:rsidR="00847389" w:rsidRDefault="00847389">
      <w:pPr>
        <w:rPr>
          <w:rFonts w:ascii="Times New Roman" w:hAnsi="Times New Roman"/>
        </w:rPr>
      </w:pPr>
      <w:r>
        <w:rPr>
          <w:rFonts w:ascii="Times New Roman" w:hAnsi="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389" w:rsidRDefault="00847389">
    <w:pPr>
      <w:pStyle w:val="Encabezado"/>
      <w:jc w:val="center"/>
      <w:rPr>
        <w:rFonts w:ascii="Times New Roman" w:hAnsi="Times New Roman"/>
      </w:rPr>
    </w:pPr>
    <w:r>
      <w:rPr>
        <w:rFonts w:ascii="Times New Roman" w:hAnsi="Times New Roman"/>
        <w:noProof/>
        <w:lang w:val="es-ES"/>
      </w:rPr>
      <w:drawing>
        <wp:inline distT="0" distB="0" distL="0" distR="0">
          <wp:extent cx="1993900" cy="654050"/>
          <wp:effectExtent l="19050" t="0" r="635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993900" cy="6540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C6AF5"/>
    <w:multiLevelType w:val="hybridMultilevel"/>
    <w:tmpl w:val="8F5E6FEC"/>
    <w:lvl w:ilvl="0" w:tplc="823EF0E2">
      <w:start w:val="28"/>
      <w:numFmt w:val="bullet"/>
      <w:lvlText w:val="-"/>
      <w:lvlJc w:val="left"/>
      <w:pPr>
        <w:tabs>
          <w:tab w:val="num" w:pos="720"/>
        </w:tabs>
        <w:ind w:left="720" w:hanging="360"/>
      </w:pPr>
      <w:rPr>
        <w:rFonts w:ascii="Times New Roman" w:eastAsia="Batang" w:hAnsi="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8"/>
  <w:hyphenationZone w:val="425"/>
  <w:doNotHyphenateCaps/>
  <w:drawingGridHorizontalSpacing w:val="120"/>
  <w:displayHorizontalDrawingGridEvery w:val="2"/>
  <w:characterSpacingControl w:val="doNotCompress"/>
  <w:footnotePr>
    <w:footnote w:id="0"/>
    <w:footnote w:id="1"/>
  </w:footnotePr>
  <w:endnotePr>
    <w:endnote w:id="0"/>
    <w:endnote w:id="1"/>
  </w:endnotePr>
  <w:compat/>
  <w:rsids>
    <w:rsidRoot w:val="005F57CE"/>
    <w:rsid w:val="0001351F"/>
    <w:rsid w:val="00037F45"/>
    <w:rsid w:val="000765E7"/>
    <w:rsid w:val="00083E94"/>
    <w:rsid w:val="000B478A"/>
    <w:rsid w:val="001E7174"/>
    <w:rsid w:val="00231610"/>
    <w:rsid w:val="00314084"/>
    <w:rsid w:val="003178C0"/>
    <w:rsid w:val="0038511E"/>
    <w:rsid w:val="004022D5"/>
    <w:rsid w:val="0044767E"/>
    <w:rsid w:val="004B03D5"/>
    <w:rsid w:val="005229BF"/>
    <w:rsid w:val="00555526"/>
    <w:rsid w:val="00574F34"/>
    <w:rsid w:val="005F57CE"/>
    <w:rsid w:val="00691792"/>
    <w:rsid w:val="006A7F43"/>
    <w:rsid w:val="006C22AC"/>
    <w:rsid w:val="006D7A4B"/>
    <w:rsid w:val="00703C4C"/>
    <w:rsid w:val="00711FAF"/>
    <w:rsid w:val="00756767"/>
    <w:rsid w:val="00827FB0"/>
    <w:rsid w:val="00847389"/>
    <w:rsid w:val="00894711"/>
    <w:rsid w:val="009220A7"/>
    <w:rsid w:val="00AA6BE5"/>
    <w:rsid w:val="00B53388"/>
    <w:rsid w:val="00BF3F01"/>
    <w:rsid w:val="00C26724"/>
    <w:rsid w:val="00CD155A"/>
    <w:rsid w:val="00D04426"/>
    <w:rsid w:val="00D42291"/>
    <w:rsid w:val="00DD0D4B"/>
    <w:rsid w:val="00E03237"/>
    <w:rsid w:val="00E52397"/>
    <w:rsid w:val="00E55CDD"/>
    <w:rsid w:val="00E60864"/>
    <w:rsid w:val="00EA60D3"/>
    <w:rsid w:val="00EB3AB0"/>
    <w:rsid w:val="00EF1748"/>
    <w:rsid w:val="00F13B62"/>
    <w:rsid w:val="00F7663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mbria" w:eastAsia="MS Minngs" w:hAnsi="Cambria"/>
      <w:sz w:val="24"/>
      <w:szCs w:val="24"/>
      <w:lang w:val="es-ES_tradnl"/>
    </w:rPr>
  </w:style>
  <w:style w:type="paragraph" w:styleId="Ttulo1">
    <w:name w:val="heading 1"/>
    <w:basedOn w:val="Normal"/>
    <w:next w:val="Normal"/>
    <w:qFormat/>
    <w:pPr>
      <w:keepNext/>
      <w:spacing w:line="360" w:lineRule="auto"/>
      <w:jc w:val="both"/>
      <w:outlineLvl w:val="0"/>
    </w:pPr>
    <w:rPr>
      <w:rFonts w:ascii="Comic Sans MS" w:eastAsia="Batang" w:hAnsi="Comic Sans MS"/>
      <w:sz w:val="20"/>
      <w:szCs w:val="20"/>
      <w:u w:val="single"/>
    </w:rPr>
  </w:style>
  <w:style w:type="paragraph" w:styleId="Ttulo2">
    <w:name w:val="heading 2"/>
    <w:basedOn w:val="Normal"/>
    <w:next w:val="Normal"/>
    <w:qFormat/>
    <w:pPr>
      <w:keepNext/>
      <w:framePr w:hSpace="141" w:wrap="auto" w:hAnchor="margin" w:y="577"/>
      <w:jc w:val="center"/>
      <w:outlineLvl w:val="1"/>
    </w:pPr>
    <w:rPr>
      <w:rFonts w:ascii="Arial" w:hAnsi="Arial" w:cs="Arial"/>
      <w:b/>
      <w:bCs/>
      <w:sz w:val="32"/>
      <w:szCs w:val="32"/>
    </w:rPr>
  </w:style>
  <w:style w:type="paragraph" w:styleId="Ttulo3">
    <w:name w:val="heading 3"/>
    <w:basedOn w:val="Normal"/>
    <w:next w:val="Normal"/>
    <w:qFormat/>
    <w:pPr>
      <w:keepNext/>
      <w:framePr w:hSpace="141" w:wrap="auto" w:hAnchor="margin" w:y="577"/>
      <w:outlineLvl w:val="2"/>
    </w:pPr>
    <w:rPr>
      <w:rFonts w:ascii="Arial" w:hAnsi="Arial" w:cs="Arial"/>
      <w:b/>
      <w:bCs/>
      <w:sz w:val="22"/>
      <w:szCs w:val="22"/>
    </w:rPr>
  </w:style>
  <w:style w:type="paragraph" w:styleId="Ttulo4">
    <w:name w:val="heading 4"/>
    <w:basedOn w:val="Normal"/>
    <w:next w:val="Normal"/>
    <w:qFormat/>
    <w:pPr>
      <w:keepNext/>
      <w:framePr w:hSpace="141" w:wrap="auto" w:hAnchor="margin" w:y="577"/>
      <w:outlineLvl w:val="3"/>
    </w:pPr>
    <w:rPr>
      <w:rFonts w:ascii="Arial" w:hAnsi="Arial" w:cs="Arial"/>
      <w:b/>
      <w:b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Heading1Char">
    <w:name w:val="Heading 1 Char"/>
    <w:basedOn w:val="Fuentedeprrafopredeter"/>
    <w:rPr>
      <w:rFonts w:ascii="Cambria" w:hAnsi="Cambria" w:cs="Cambria"/>
      <w:b/>
      <w:bCs/>
      <w:kern w:val="32"/>
      <w:sz w:val="32"/>
      <w:szCs w:val="32"/>
      <w:lang w:val="es-ES_tradnl"/>
    </w:rPr>
  </w:style>
  <w:style w:type="character" w:customStyle="1" w:styleId="Heading2Char">
    <w:name w:val="Heading 2 Char"/>
    <w:basedOn w:val="Fuentedeprrafopredeter"/>
    <w:rPr>
      <w:rFonts w:ascii="Cambria" w:hAnsi="Cambria" w:cs="Cambria"/>
      <w:b/>
      <w:bCs/>
      <w:i/>
      <w:iCs/>
      <w:sz w:val="28"/>
      <w:szCs w:val="28"/>
      <w:lang w:val="es-ES_tradnl"/>
    </w:rPr>
  </w:style>
  <w:style w:type="character" w:customStyle="1" w:styleId="Heading3Char">
    <w:name w:val="Heading 3 Char"/>
    <w:basedOn w:val="Fuentedeprrafopredeter"/>
    <w:rPr>
      <w:rFonts w:ascii="Cambria" w:hAnsi="Cambria" w:cs="Cambria"/>
      <w:b/>
      <w:bCs/>
      <w:sz w:val="26"/>
      <w:szCs w:val="26"/>
      <w:lang w:val="es-ES_tradnl"/>
    </w:rPr>
  </w:style>
  <w:style w:type="character" w:customStyle="1" w:styleId="Heading4Char">
    <w:name w:val="Heading 4 Char"/>
    <w:basedOn w:val="Fuentedeprrafopredeter"/>
    <w:rPr>
      <w:rFonts w:ascii="Times New Roman" w:hAnsi="Times New Roman" w:cs="Times New Roman"/>
      <w:b/>
      <w:bCs/>
      <w:sz w:val="28"/>
      <w:szCs w:val="28"/>
      <w:lang w:val="es-ES_tradnl"/>
    </w:rPr>
  </w:style>
  <w:style w:type="paragraph" w:styleId="Encabezado">
    <w:name w:val="header"/>
    <w:basedOn w:val="Normal"/>
    <w:pPr>
      <w:tabs>
        <w:tab w:val="center" w:pos="4252"/>
        <w:tab w:val="right" w:pos="8504"/>
      </w:tabs>
    </w:pPr>
  </w:style>
  <w:style w:type="character" w:customStyle="1" w:styleId="HeaderChar">
    <w:name w:val="Header Char"/>
    <w:basedOn w:val="Fuentedeprrafopredeter"/>
    <w:rPr>
      <w:rFonts w:ascii="Times New Roman" w:hAnsi="Times New Roman" w:cs="Times New Roman"/>
    </w:rPr>
  </w:style>
  <w:style w:type="paragraph" w:styleId="Piedepgina">
    <w:name w:val="footer"/>
    <w:basedOn w:val="Normal"/>
    <w:pPr>
      <w:tabs>
        <w:tab w:val="center" w:pos="4252"/>
        <w:tab w:val="right" w:pos="8504"/>
      </w:tabs>
    </w:pPr>
  </w:style>
  <w:style w:type="character" w:customStyle="1" w:styleId="FooterChar">
    <w:name w:val="Footer Char"/>
    <w:basedOn w:val="Fuentedeprrafopredeter"/>
    <w:rPr>
      <w:rFonts w:ascii="Times New Roman" w:hAnsi="Times New Roman" w:cs="Times New Roman"/>
    </w:rPr>
  </w:style>
  <w:style w:type="paragraph" w:customStyle="1" w:styleId="BalloonText">
    <w:name w:val="Balloon Text"/>
    <w:basedOn w:val="Normal"/>
    <w:rPr>
      <w:rFonts w:ascii="Lucida Grande" w:hAnsi="Lucida Grande"/>
      <w:sz w:val="18"/>
      <w:szCs w:val="18"/>
    </w:rPr>
  </w:style>
  <w:style w:type="character" w:customStyle="1" w:styleId="BalloonTextChar">
    <w:name w:val="Balloon Text Char"/>
    <w:basedOn w:val="Fuentedeprrafopredeter"/>
    <w:rPr>
      <w:rFonts w:ascii="Lucida Grande" w:hAnsi="Lucida Grande" w:cs="Lucida Grande"/>
      <w:sz w:val="18"/>
      <w:szCs w:val="18"/>
    </w:rPr>
  </w:style>
  <w:style w:type="paragraph" w:styleId="Textoindependiente">
    <w:name w:val="Body Text"/>
    <w:basedOn w:val="Normal"/>
    <w:pPr>
      <w:spacing w:line="360" w:lineRule="auto"/>
      <w:jc w:val="both"/>
    </w:pPr>
    <w:rPr>
      <w:rFonts w:ascii="Comic Sans MS" w:eastAsia="Batang" w:hAnsi="Comic Sans MS"/>
    </w:rPr>
  </w:style>
  <w:style w:type="character" w:customStyle="1" w:styleId="BodyTextChar">
    <w:name w:val="Body Text Char"/>
    <w:basedOn w:val="Fuentedeprrafopredeter"/>
    <w:rPr>
      <w:rFonts w:ascii="Cambria" w:eastAsia="MS Minngs" w:hAnsi="Cambria" w:cs="Cambria"/>
      <w:sz w:val="24"/>
      <w:szCs w:val="24"/>
      <w:lang w:val="es-ES_tradnl"/>
    </w:rPr>
  </w:style>
  <w:style w:type="paragraph" w:styleId="Sangradetextonormal">
    <w:name w:val="Body Text Indent"/>
    <w:basedOn w:val="Normal"/>
    <w:rPr>
      <w:rFonts w:ascii="Times New Roman" w:hAnsi="Times New Roman"/>
      <w:b/>
      <w:bCs/>
      <w:sz w:val="36"/>
      <w:szCs w:val="36"/>
      <w:lang w:val="es-ES"/>
    </w:rPr>
  </w:style>
  <w:style w:type="character" w:customStyle="1" w:styleId="BodyText2Char">
    <w:name w:val="Body Text 2 Char"/>
    <w:basedOn w:val="Fuentedeprrafopredeter"/>
    <w:rPr>
      <w:rFonts w:ascii="Cambria" w:eastAsia="MS Minngs" w:hAnsi="Cambria" w:cs="Cambria"/>
      <w:sz w:val="24"/>
      <w:szCs w:val="24"/>
      <w:lang w:val="es-ES_tradnl"/>
    </w:rPr>
  </w:style>
  <w:style w:type="paragraph" w:styleId="Sangra2detindependiente">
    <w:name w:val="Body Text Indent 2"/>
    <w:basedOn w:val="Normal"/>
    <w:pPr>
      <w:tabs>
        <w:tab w:val="left" w:pos="4755"/>
      </w:tabs>
      <w:spacing w:line="360" w:lineRule="auto"/>
      <w:ind w:left="180"/>
      <w:jc w:val="both"/>
    </w:pPr>
    <w:rPr>
      <w:rFonts w:ascii="Arial" w:hAnsi="Arial" w:cs="Arial"/>
    </w:rPr>
  </w:style>
  <w:style w:type="character" w:customStyle="1" w:styleId="BodyTextIndent2Char">
    <w:name w:val="Body Text Indent 2 Char"/>
    <w:basedOn w:val="Fuentedeprrafopredeter"/>
    <w:rPr>
      <w:rFonts w:ascii="Cambria" w:eastAsia="MS Minngs" w:hAnsi="Cambria" w:cs="Cambria"/>
      <w:sz w:val="24"/>
      <w:szCs w:val="24"/>
      <w:lang w:val="es-ES_tradnl"/>
    </w:rPr>
  </w:style>
  <w:style w:type="paragraph" w:styleId="NormalWeb">
    <w:name w:val="Normal (Web)"/>
    <w:basedOn w:val="Normal"/>
    <w:pPr>
      <w:spacing w:before="100" w:beforeAutospacing="1" w:after="100" w:afterAutospacing="1"/>
    </w:pPr>
    <w:rPr>
      <w:rFonts w:ascii="Arial Unicode MS" w:eastAsia="Arial Unicode MS" w:hAnsi="Arial Unicode MS" w:cs="Arial Unicode MS"/>
      <w:lang w:val="es-ES"/>
    </w:rPr>
  </w:style>
  <w:style w:type="paragraph" w:styleId="Textoindependiente2">
    <w:name w:val="Body Text 2"/>
    <w:basedOn w:val="Normal"/>
    <w:pPr>
      <w:jc w:val="both"/>
    </w:pPr>
    <w:rPr>
      <w:rFonts w:ascii="Times New Roman" w:hAnsi="Times New Roman"/>
      <w:sz w:val="22"/>
      <w:szCs w:val="22"/>
      <w:lang w:val="es-ES"/>
    </w:rPr>
  </w:style>
  <w:style w:type="paragraph" w:customStyle="1" w:styleId="ladillo">
    <w:name w:val="ladillo"/>
    <w:basedOn w:val="Normal"/>
    <w:pPr>
      <w:spacing w:before="100" w:beforeAutospacing="1" w:after="100" w:afterAutospacing="1"/>
    </w:pPr>
    <w:rPr>
      <w:rFonts w:ascii="Arial Unicode MS" w:eastAsia="Arial Unicode MS" w:hAnsi="Arial Unicode MS" w:cs="Arial Unicode MS"/>
      <w:lang w:val="es-ES"/>
    </w:rPr>
  </w:style>
  <w:style w:type="paragraph" w:styleId="Textoindependiente3">
    <w:name w:val="Body Text 3"/>
    <w:basedOn w:val="Normal"/>
    <w:pPr>
      <w:jc w:val="both"/>
    </w:pPr>
    <w:rPr>
      <w:rFonts w:ascii="Times New Roman" w:hAnsi="Times New Roman"/>
      <w:b/>
      <w:bCs/>
      <w:sz w:val="36"/>
      <w:szCs w:val="22"/>
      <w:lang w:val="es-ES"/>
    </w:rPr>
  </w:style>
  <w:style w:type="paragraph" w:styleId="Textodeglobo">
    <w:name w:val="Balloon Text"/>
    <w:basedOn w:val="Normal"/>
    <w:link w:val="TextodegloboCar"/>
    <w:rsid w:val="001E7174"/>
    <w:rPr>
      <w:rFonts w:ascii="Tahoma" w:hAnsi="Tahoma" w:cs="Tahoma"/>
      <w:sz w:val="16"/>
      <w:szCs w:val="16"/>
    </w:rPr>
  </w:style>
  <w:style w:type="character" w:customStyle="1" w:styleId="TextodegloboCar">
    <w:name w:val="Texto de globo Car"/>
    <w:basedOn w:val="Fuentedeprrafopredeter"/>
    <w:link w:val="Textodeglobo"/>
    <w:rsid w:val="001E7174"/>
    <w:rPr>
      <w:rFonts w:ascii="Tahoma" w:eastAsia="MS Minngs" w:hAnsi="Tahoma" w:cs="Tahoma"/>
      <w:sz w:val="16"/>
      <w:szCs w:val="16"/>
      <w:lang w:val="es-ES_tradnl"/>
    </w:rPr>
  </w:style>
</w:styles>
</file>

<file path=word/webSettings.xml><?xml version="1.0" encoding="utf-8"?>
<w:webSettings xmlns:r="http://schemas.openxmlformats.org/officeDocument/2006/relationships" xmlns:w="http://schemas.openxmlformats.org/wordprocessingml/2006/main">
  <w:divs>
    <w:div w:id="160973652">
      <w:bodyDiv w:val="1"/>
      <w:marLeft w:val="0"/>
      <w:marRight w:val="0"/>
      <w:marTop w:val="0"/>
      <w:marBottom w:val="0"/>
      <w:divBdr>
        <w:top w:val="none" w:sz="0" w:space="0" w:color="auto"/>
        <w:left w:val="none" w:sz="0" w:space="0" w:color="auto"/>
        <w:bottom w:val="none" w:sz="0" w:space="0" w:color="auto"/>
        <w:right w:val="none" w:sz="0" w:space="0" w:color="auto"/>
      </w:divBdr>
    </w:div>
    <w:div w:id="118254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3F5D9-5F89-40BB-BC63-1ABEA4743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348</Words>
  <Characters>1813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INTERVENCIÓN DIPUTADA REGIONALISTA, MATILDE RUIZ,  CONVENIO</vt:lpstr>
    </vt:vector>
  </TitlesOfParts>
  <Company>Parlamento de Cantabria</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INTERVENCIÓN DIPUTADA REGIONALISTA, MATILDE RUIZ,  CONVENIO</dc:title>
  <dc:creator>Boxer Publicidad</dc:creator>
  <cp:lastModifiedBy>gr_2</cp:lastModifiedBy>
  <cp:revision>2</cp:revision>
  <cp:lastPrinted>2011-03-28T13:04:00Z</cp:lastPrinted>
  <dcterms:created xsi:type="dcterms:W3CDTF">2012-02-06T16:28:00Z</dcterms:created>
  <dcterms:modified xsi:type="dcterms:W3CDTF">2012-02-06T17:07:00Z</dcterms:modified>
</cp:coreProperties>
</file>