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397"/>
        <w:jc w:val="both"/>
        <w:rPr>
          <w:i w:val="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El PRC de Santander pide </w:t>
      </w:r>
      <w:r w:rsidDel="00000000" w:rsidR="00000000" w:rsidRPr="00000000">
        <w:rPr>
          <w:b w:val="1"/>
          <w:sz w:val="40"/>
          <w:szCs w:val="40"/>
          <w:rtl w:val="0"/>
        </w:rPr>
        <w:t xml:space="preserve">al equipo de gobierno que estudie aplicar una modificación del PGOU que limite la concesión de licencias para las salas de juego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397"/>
        <w:jc w:val="both"/>
        <w:rPr>
          <w:rFonts w:ascii="Roboto" w:cs="Roboto" w:eastAsia="Roboto" w:hAnsi="Roboto"/>
          <w:sz w:val="23"/>
          <w:szCs w:val="23"/>
          <w:shd w:fill="f7f7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397"/>
        <w:jc w:val="both"/>
        <w:rPr>
          <w:rFonts w:ascii="Roboto" w:cs="Roboto" w:eastAsia="Roboto" w:hAnsi="Roboto"/>
          <w:sz w:val="23"/>
          <w:szCs w:val="23"/>
          <w:shd w:fill="f7f7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397"/>
        <w:jc w:val="both"/>
        <w:rPr>
          <w:rFonts w:ascii="Roboto" w:cs="Roboto" w:eastAsia="Roboto" w:hAnsi="Roboto"/>
          <w:i w:val="1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rtl w:val="0"/>
        </w:rPr>
        <w:t xml:space="preserve">Pretenden que se establezca una moratoria que pudiera conllevar la suspensión del otorgamiento de licencias de obras y actividad de dichos locales, similar a la opción que se está barajando con las gasolineras </w:t>
      </w:r>
    </w:p>
    <w:p w:rsidR="00000000" w:rsidDel="00000000" w:rsidP="00000000" w:rsidRDefault="00000000" w:rsidRPr="00000000" w14:paraId="00000005">
      <w:pPr>
        <w:ind w:right="-397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397"/>
        <w:jc w:val="both"/>
        <w:rPr>
          <w:rFonts w:ascii="Roboto" w:cs="Roboto" w:eastAsia="Roboto" w:hAnsi="Roboto"/>
          <w:sz w:val="23"/>
          <w:szCs w:val="23"/>
          <w:shd w:fill="f7f7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397"/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397"/>
        <w:jc w:val="righ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-397"/>
        <w:jc w:val="righ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397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Santander,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 de </w:t>
      </w:r>
      <w:r w:rsidDel="00000000" w:rsidR="00000000" w:rsidRPr="00000000">
        <w:rPr>
          <w:rtl w:val="0"/>
        </w:rPr>
        <w:t xml:space="preserve">agosto</w:t>
      </w:r>
      <w:r w:rsidDel="00000000" w:rsidR="00000000" w:rsidRPr="00000000">
        <w:rPr>
          <w:vertAlign w:val="baseline"/>
          <w:rtl w:val="0"/>
        </w:rPr>
        <w:t xml:space="preserve"> de 2020</w:t>
      </w:r>
    </w:p>
    <w:p w:rsidR="00000000" w:rsidDel="00000000" w:rsidP="00000000" w:rsidRDefault="00000000" w:rsidRPr="00000000" w14:paraId="0000000B">
      <w:pPr>
        <w:ind w:right="-397"/>
        <w:jc w:val="righ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El grupo municipal regionalista en el Ayuntamiento de Santander ha pedido al equipo de gobierno que estudie la vía de aplicar una modificación del Plan General de Ordenación Urbana (PGOU), similar a la que se está barajando con el tema de las licencias para gasolineras, al objeto de activar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una moratoria que derive en la suspensión del otorgamiento de toda clase de aprobaciones, autorizaciones y licencias urbanísticas a las salas de juego, en las áreas en las que las nuevas determinaciones para ellas previstas, supongan modificación del régimen urbanístico vigente.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portavoz regionalista, José María Fuentes Pila, indicó que tal como ha sucedido en otros ayuntamientos como</w:t>
      </w:r>
      <w:r w:rsidDel="00000000" w:rsidR="00000000" w:rsidRPr="00000000">
        <w:rPr>
          <w:rFonts w:ascii="Arial" w:cs="Arial" w:eastAsia="Arial" w:hAnsi="Arial"/>
          <w:rtl w:val="0"/>
        </w:rPr>
        <w:t xml:space="preserve"> Zaragoza, Sevilla, Cádiz o Burgos, a pesar de que las Comunidades Autónomas tienen competencia exclusiva en materia de juego, han tramitado o están tramitando modificaciones de sus PGOU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para la regulación de la implantación de establecimientos de juego.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Para el regionalista el Ayuntamiento de Santander puede así frenar la actividad del juego a través de la vía urbanística, introduciendo restricciones a través del planeamiento, cuando existan razones imperiosas de interés general como orden público, seguridad pública y salud pública, mantenimiento del orden en la sociedad, objetivos de política social, protección de los destinatarios de los servicios, protección del consumidor y protección de los trabajadores, incluida su protección social.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“El Ayuntamiento, pues, tiene competencia para introducir limitaciones urbanísticas a la implantación de locales de juego en las inmediaciones de espacios frecuentados por la infancia, la adolescencia y la juventud, como los centros educativos, culturales, deportivos o juveniles”, apuntó. En este sentido, añadió,  “la posibilidad de incluir en el PGOU que los establecimientos de juego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solamente se puedan situar en las zonas de uso global residencial y de equipamiento si están a cierta distancia de los accesos de entrada o salida a las parcelas destinadas a usos de equipamiento escolar, deportivo o sociocultural, o crear una nueva categoría específica para conceder licencia a estos establecimientos de juego para separarla de otras actividades de naturaleza diferente y que no puedan situarse en ninguna  zona residencial”.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Fuentes Pila valoró que dicha modificación urbanística supondría un régimen más restrictivo y se sumaría al régimen de distancias fijado en la Ley de Juego, que tiene el carácter de distancia mínima.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Según señaló el portavoz, a ello se suma que los artículos 8 y 14 de la Ley de Espectáculos posibilitan que los Municipios puedan establecer otros límites, condiciones o requisitos específicos para aquellos establecimientos que puedan suponer una incidencia en las zonas residenciales, o en la seguridad y salud de las personas afectadas. 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right="4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right="4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right="4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right="4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right="4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right="4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708" w:right="1134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851" w:top="2517" w:left="900" w:right="164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Grupo Municipal Regionalista en el Ayuntamiento de Santander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Plaza del Ayuntamiento s/n 39002 Santander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Teléfono 942.200.664 y 942.200.694 – Fax 942.200.733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http://www.prc.es/municipio/santander/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grupo-prc@ayto-santander.es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9360"/>
      </w:tabs>
      <w:spacing w:after="0" w:before="0" w:line="240" w:lineRule="auto"/>
      <w:ind w:left="-540" w:right="-80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342900</wp:posOffset>
          </wp:positionH>
          <wp:positionV relativeFrom="paragraph">
            <wp:posOffset>5080</wp:posOffset>
          </wp:positionV>
          <wp:extent cx="828675" cy="1028700"/>
          <wp:effectExtent b="0" l="0" r="0" t="0"/>
          <wp:wrapSquare wrapText="right" distB="0" distT="0" distL="114300" distR="11430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9360"/>
      </w:tabs>
      <w:spacing w:after="0" w:before="0" w:line="240" w:lineRule="auto"/>
      <w:ind w:left="-540" w:right="-80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right" w:pos="9360"/>
      </w:tabs>
      <w:spacing w:after="0" w:before="0" w:line="240" w:lineRule="auto"/>
      <w:ind w:left="-540" w:right="-80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1576070" cy="701040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070" cy="7010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</w:t>
      <w:tab/>
      <w:t xml:space="preserve">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Excmo. Ayuntamiento de Santander                                                                                   Grupo Municipal Regionalista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MX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MX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eastAsia="Arial Unicode MS" w:hAnsi="Arial"/>
      <w:b w:val="1"/>
      <w:bCs w:val="1"/>
      <w:w w:val="100"/>
      <w:kern w:val="1"/>
      <w:position w:val="-1"/>
      <w:sz w:val="28"/>
      <w:szCs w:val="26"/>
      <w:u w:val="single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rFonts w:ascii="Arial" w:cs="Arial" w:hAnsi="Arial"/>
      <w:b w:val="1"/>
      <w:bCs w:val="1"/>
      <w:w w:val="100"/>
      <w:position w:val="-1"/>
      <w:sz w:val="36"/>
      <w:szCs w:val="20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ellGothic BT" w:hAnsi="BellGothic BT"/>
      <w:b w:val="1"/>
      <w:bCs w:val="1"/>
      <w:color w:val="00008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ellGothic BT" w:hAnsi="BellGothic BT"/>
      <w:b w:val="1"/>
      <w:bCs w:val="1"/>
      <w:color w:val="00008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s-MX" w:val="es-ES"/>
    </w:rPr>
  </w:style>
  <w:style w:type="paragraph" w:styleId="Sangría2det.independiente">
    <w:name w:val="Sangría 2 de t. independiente"/>
    <w:basedOn w:val="Normal"/>
    <w:next w:val="Sangría2det.independiente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s-MX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tabs>
        <w:tab w:val="left" w:leader="none" w:pos="90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tabs>
        <w:tab w:val="left" w:leader="none" w:pos="90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Sangría3det.independiente">
    <w:name w:val="Sangría 3 de t. independiente"/>
    <w:basedOn w:val="Normal"/>
    <w:next w:val="Sangría3det.independiente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jc w:val="both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arrafonegrita">
    <w:name w:val="parrafonegrita"/>
    <w:basedOn w:val="Fuentedepárrafopredeter."/>
    <w:next w:val="parrafonegrit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bloque">
    <w:name w:val="Texto de bloque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hAnsi="Century Gothic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ladillo">
    <w:name w:val="ladillo"/>
    <w:basedOn w:val="Normal"/>
    <w:next w:val="ladillo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itulo_noticia">
    <w:name w:val="titulo_noticia"/>
    <w:basedOn w:val="Normal"/>
    <w:next w:val="titulo_noticia"/>
    <w:autoRedefine w:val="0"/>
    <w:hidden w:val="0"/>
    <w:qFormat w:val="0"/>
    <w:pPr>
      <w:pBdr>
        <w:bottom w:color="dcdcdc" w:space="4" w:sz="6" w:val="single"/>
      </w:pBdr>
      <w:shd w:color="auto" w:fill="f6f6f6" w:val="clear"/>
      <w:suppressAutoHyphens w:val="1"/>
      <w:spacing w:line="240" w:lineRule="atLeast"/>
      <w:ind w:right="150" w:leftChars="-1" w:rightChars="0" w:firstLineChars="-1"/>
      <w:textDirection w:val="btLr"/>
      <w:textAlignment w:val="top"/>
      <w:outlineLvl w:val="0"/>
    </w:pPr>
    <w:rPr>
      <w:rFonts w:ascii="Trebuchet MS" w:cs="Arial Unicode MS" w:eastAsia="Arial Unicode MS" w:hAnsi="Trebuchet MS"/>
      <w:b w:val="1"/>
      <w:bCs w:val="1"/>
      <w:color w:val="054b3f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paragraph" w:styleId="entradilla">
    <w:name w:val="entradilla"/>
    <w:basedOn w:val="Normal"/>
    <w:next w:val="entradilla"/>
    <w:autoRedefine w:val="0"/>
    <w:hidden w:val="0"/>
    <w:qFormat w:val="0"/>
    <w:pPr>
      <w:pBdr>
        <w:bottom w:color="dcdcdc" w:space="11" w:sz="18" w:val="single"/>
      </w:pBdr>
      <w:suppressAutoHyphens w:val="1"/>
      <w:spacing w:before="75" w:line="300" w:lineRule="atLeast"/>
      <w:ind w:leftChars="-1" w:rightChars="0" w:firstLineChars="-1"/>
      <w:textDirection w:val="btLr"/>
      <w:textAlignment w:val="top"/>
      <w:outlineLvl w:val="0"/>
    </w:pPr>
    <w:rPr>
      <w:rFonts w:ascii="Trebuchet MS" w:cs="Arial Unicode MS" w:eastAsia="Arial Unicode MS" w:hAnsi="Trebuchet MS"/>
      <w:color w:val="3e4443"/>
      <w:w w:val="100"/>
      <w:position w:val="-1"/>
      <w:sz w:val="21"/>
      <w:szCs w:val="21"/>
      <w:effect w:val="none"/>
      <w:vertAlign w:val="baseline"/>
      <w:cs w:val="0"/>
      <w:em w:val="none"/>
      <w:lang w:bidi="ar-SA" w:eastAsia="es-ES" w:val="es-ES"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ecxecxmsonormal">
    <w:name w:val="ecxecxmsonormal"/>
    <w:basedOn w:val="Normal"/>
    <w:next w:val="ecxecxmsonormal"/>
    <w:autoRedefine w:val="0"/>
    <w:hidden w:val="0"/>
    <w:qFormat w:val="0"/>
    <w:pPr>
      <w:suppressAutoHyphens w:val="1"/>
      <w:spacing w:after="324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apple-style-span">
    <w:name w:val="apple-style-span"/>
    <w:basedOn w:val="Fuentedepárrafopredeter.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6Car">
    <w:name w:val="Título 6 Car"/>
    <w:next w:val="Título6Car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SangríadetextonormalCar">
    <w:name w:val="Sangría de texto normal Car"/>
    <w:next w:val="SangríadetextonormalCar"/>
    <w:autoRedefine w:val="0"/>
    <w:hidden w:val="0"/>
    <w:qFormat w:val="0"/>
    <w:rPr>
      <w:rFonts w:ascii="Arial" w:hAnsi="Arial"/>
      <w:w w:val="100"/>
      <w:position w:val="-1"/>
      <w:effect w:val="none"/>
      <w:vertAlign w:val="baseline"/>
      <w:cs w:val="0"/>
      <w:em w:val="none"/>
      <w:lang w:eastAsia="es-MX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prc.es/municipio/santander" TargetMode="External"/><Relationship Id="rId2" Type="http://schemas.openxmlformats.org/officeDocument/2006/relationships/hyperlink" Target="mailto:grupo-prc@ayto-santander.e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3+CuParCSLn47iw+Y3vpddhkKQ==">AMUW2mWHHcqyYShBhxh96/FI+YouEpZ4KYpESYlXInvrgWbhI6weDrmioWZh/mlVT80qOJ0s0skTDmzw2qbPBSlc2TwYpBmzgxjm+HFb/McHzkYqRXXIros=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2020-01-31T11:38:00Z</dcterms:created>
  <dc:creator>Pedro J. Hernando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